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24"/>
        <w:spacing w:before="184" w:line="214" w:lineRule="auto"/>
        <w:rPr>
          <w:rFonts w:ascii="Microsoft YaHei" w:hAnsi="Microsoft YaHei" w:eastAsia="Microsoft YaHei" w:cs="Microsoft YaHei"/>
          <w:sz w:val="35"/>
          <w:szCs w:val="35"/>
        </w:rPr>
      </w:pPr>
      <w:r>
        <w:rPr>
          <w:rFonts w:ascii="Microsoft YaHei" w:hAnsi="Microsoft YaHei" w:eastAsia="Microsoft YaHei" w:cs="Microsoft YaHei"/>
          <w:sz w:val="35"/>
          <w:szCs w:val="35"/>
          <w:spacing w:val="2"/>
        </w:rPr>
        <w:t>附件2</w:t>
      </w:r>
    </w:p>
    <w:p>
      <w:pPr>
        <w:ind w:left="4391"/>
        <w:spacing w:before="12" w:line="188" w:lineRule="auto"/>
        <w:outlineLvl w:val="0"/>
        <w:rPr>
          <w:rFonts w:ascii="Microsoft YaHei" w:hAnsi="Microsoft YaHei" w:eastAsia="Microsoft YaHei" w:cs="Microsoft YaHei"/>
          <w:sz w:val="35"/>
          <w:szCs w:val="35"/>
        </w:rPr>
      </w:pPr>
      <w:r>
        <w:rPr>
          <w:rFonts w:ascii="Microsoft YaHei" w:hAnsi="Microsoft YaHei" w:eastAsia="Microsoft YaHei" w:cs="Microsoft YaHei"/>
          <w:sz w:val="35"/>
          <w:szCs w:val="35"/>
          <w:spacing w:val="9"/>
        </w:rPr>
        <w:t>广西医学会专科分会年度考核评分表</w:t>
      </w:r>
    </w:p>
    <w:p>
      <w:pPr>
        <w:spacing w:line="416" w:lineRule="auto"/>
        <w:rPr>
          <w:rFonts w:ascii="Arial"/>
          <w:sz w:val="21"/>
        </w:rPr>
      </w:pPr>
      <w:r/>
    </w:p>
    <w:p>
      <w:pPr>
        <w:ind w:left="112"/>
        <w:spacing w:before="97" w:line="405" w:lineRule="exact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b/>
          <w:bCs/>
          <w:spacing w:val="-2"/>
          <w:position w:val="1"/>
        </w:rPr>
        <w:t>分会名称：</w:t>
      </w:r>
      <w:r>
        <w:rPr>
          <w:rFonts w:ascii="SimSun" w:hAnsi="SimSun" w:eastAsia="SimSun" w:cs="SimSun"/>
          <w:sz w:val="30"/>
          <w:szCs w:val="30"/>
          <w:spacing w:val="-2"/>
          <w:position w:val="1"/>
        </w:rPr>
        <w:t xml:space="preserve">                         </w:t>
      </w:r>
      <w:r>
        <w:rPr>
          <w:rFonts w:ascii="SimSun" w:hAnsi="SimSun" w:eastAsia="SimSun" w:cs="SimSun"/>
          <w:sz w:val="30"/>
          <w:szCs w:val="30"/>
          <w:b/>
          <w:bCs/>
          <w:spacing w:val="-2"/>
          <w:position w:val="1"/>
        </w:rPr>
        <w:t>填写人：</w:t>
      </w:r>
      <w:r>
        <w:rPr>
          <w:rFonts w:ascii="SimSun" w:hAnsi="SimSun" w:eastAsia="SimSun" w:cs="SimSun"/>
          <w:sz w:val="30"/>
          <w:szCs w:val="30"/>
          <w:spacing w:val="-3"/>
          <w:position w:val="1"/>
        </w:rPr>
        <w:t xml:space="preserve">                                </w:t>
      </w:r>
      <w:r>
        <w:rPr>
          <w:rFonts w:ascii="SimSun" w:hAnsi="SimSun" w:eastAsia="SimSun" w:cs="SimSun"/>
          <w:sz w:val="30"/>
          <w:szCs w:val="30"/>
          <w:b/>
          <w:bCs/>
          <w:spacing w:val="-3"/>
          <w:position w:val="1"/>
        </w:rPr>
        <w:t>日期：</w:t>
      </w:r>
      <w:r>
        <w:rPr>
          <w:rFonts w:ascii="SimSun" w:hAnsi="SimSun" w:eastAsia="SimSun" w:cs="SimSun"/>
          <w:sz w:val="30"/>
          <w:szCs w:val="30"/>
          <w:spacing w:val="-3"/>
          <w:position w:val="1"/>
        </w:rPr>
        <w:t xml:space="preserve">    </w:t>
      </w:r>
      <w:r>
        <w:rPr>
          <w:rFonts w:ascii="SimSun" w:hAnsi="SimSun" w:eastAsia="SimSun" w:cs="SimSun"/>
          <w:sz w:val="30"/>
          <w:szCs w:val="30"/>
          <w:b/>
          <w:bCs/>
          <w:spacing w:val="-3"/>
          <w:position w:val="1"/>
        </w:rPr>
        <w:t>年</w:t>
      </w:r>
      <w:r>
        <w:rPr>
          <w:rFonts w:ascii="SimSun" w:hAnsi="SimSun" w:eastAsia="SimSun" w:cs="SimSun"/>
          <w:sz w:val="30"/>
          <w:szCs w:val="30"/>
          <w:spacing w:val="-3"/>
          <w:position w:val="1"/>
        </w:rPr>
        <w:t xml:space="preserve">  </w:t>
      </w:r>
      <w:r>
        <w:rPr>
          <w:rFonts w:ascii="SimSun" w:hAnsi="SimSun" w:eastAsia="SimSun" w:cs="SimSun"/>
          <w:sz w:val="30"/>
          <w:szCs w:val="30"/>
          <w:b/>
          <w:bCs/>
          <w:spacing w:val="-3"/>
          <w:position w:val="1"/>
        </w:rPr>
        <w:t>月</w:t>
      </w:r>
      <w:r>
        <w:rPr>
          <w:rFonts w:ascii="SimSun" w:hAnsi="SimSun" w:eastAsia="SimSun" w:cs="SimSun"/>
          <w:sz w:val="30"/>
          <w:szCs w:val="30"/>
          <w:spacing w:val="25"/>
          <w:position w:val="1"/>
        </w:rPr>
        <w:t xml:space="preserve">  </w:t>
      </w:r>
      <w:r>
        <w:rPr>
          <w:rFonts w:ascii="SimSun" w:hAnsi="SimSun" w:eastAsia="SimSun" w:cs="SimSun"/>
          <w:sz w:val="30"/>
          <w:szCs w:val="30"/>
          <w:b/>
          <w:bCs/>
          <w:spacing w:val="-3"/>
          <w:position w:val="1"/>
        </w:rPr>
        <w:t>日</w:t>
      </w:r>
    </w:p>
    <w:tbl>
      <w:tblPr>
        <w:tblStyle w:val="TableNormal"/>
        <w:tblW w:w="1452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417"/>
        <w:gridCol w:w="455"/>
        <w:gridCol w:w="543"/>
        <w:gridCol w:w="1847"/>
        <w:gridCol w:w="8757"/>
        <w:gridCol w:w="776"/>
        <w:gridCol w:w="732"/>
      </w:tblGrid>
      <w:tr>
        <w:trPr>
          <w:trHeight w:val="631" w:hRule="atLeast"/>
        </w:trPr>
        <w:tc>
          <w:tcPr>
            <w:tcW w:w="1417" w:type="dxa"/>
            <w:vAlign w:val="top"/>
          </w:tcPr>
          <w:p>
            <w:pPr>
              <w:ind w:left="235"/>
              <w:spacing w:before="193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评分项目</w:t>
            </w:r>
          </w:p>
        </w:tc>
        <w:tc>
          <w:tcPr>
            <w:tcW w:w="455" w:type="dxa"/>
            <w:vAlign w:val="top"/>
            <w:textDirection w:val="tbRlV"/>
          </w:tcPr>
          <w:p>
            <w:pPr>
              <w:ind w:left="40"/>
              <w:spacing w:before="107" w:line="204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36"/>
              </w:rPr>
              <w:t>总分</w:t>
            </w:r>
          </w:p>
        </w:tc>
        <w:tc>
          <w:tcPr>
            <w:tcW w:w="543" w:type="dxa"/>
            <w:vAlign w:val="top"/>
            <w:textDirection w:val="tbRlV"/>
          </w:tcPr>
          <w:p>
            <w:pPr>
              <w:ind w:left="40"/>
              <w:spacing w:before="150" w:line="208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36"/>
              </w:rPr>
              <w:t>分值</w:t>
            </w:r>
          </w:p>
        </w:tc>
        <w:tc>
          <w:tcPr>
            <w:tcW w:w="1847" w:type="dxa"/>
            <w:vAlign w:val="top"/>
          </w:tcPr>
          <w:p>
            <w:pPr>
              <w:ind w:left="704"/>
              <w:spacing w:before="194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3"/>
              </w:rPr>
              <w:t>内容</w:t>
            </w:r>
          </w:p>
        </w:tc>
        <w:tc>
          <w:tcPr>
            <w:tcW w:w="8757" w:type="dxa"/>
            <w:vAlign w:val="top"/>
          </w:tcPr>
          <w:p>
            <w:pPr>
              <w:ind w:left="4148"/>
              <w:spacing w:before="193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7"/>
              </w:rPr>
              <w:t>细则</w:t>
            </w:r>
          </w:p>
        </w:tc>
        <w:tc>
          <w:tcPr>
            <w:tcW w:w="776" w:type="dxa"/>
            <w:vAlign w:val="top"/>
          </w:tcPr>
          <w:p>
            <w:pPr>
              <w:ind w:left="187"/>
              <w:spacing w:before="39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0"/>
              </w:rPr>
              <w:t>自评</w:t>
            </w:r>
          </w:p>
          <w:p>
            <w:pPr>
              <w:ind w:left="158"/>
              <w:spacing w:before="21" w:line="209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得分</w:t>
            </w:r>
          </w:p>
        </w:tc>
        <w:tc>
          <w:tcPr>
            <w:tcW w:w="732" w:type="dxa"/>
            <w:vAlign w:val="top"/>
          </w:tcPr>
          <w:p>
            <w:pPr>
              <w:ind w:left="135"/>
              <w:spacing w:before="39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7"/>
              </w:rPr>
              <w:t>复核</w:t>
            </w:r>
          </w:p>
          <w:p>
            <w:pPr>
              <w:ind w:left="133"/>
              <w:spacing w:before="21" w:line="209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得分</w:t>
            </w:r>
          </w:p>
        </w:tc>
      </w:tr>
      <w:tr>
        <w:trPr>
          <w:trHeight w:val="1344" w:hRule="atLeast"/>
        </w:trPr>
        <w:tc>
          <w:tcPr>
            <w:tcW w:w="1417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108" w:right="108"/>
              <w:spacing w:before="62" w:line="299" w:lineRule="auto"/>
              <w:jc w:val="both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7"/>
              </w:rPr>
              <w:t>一、专科分会</w:t>
            </w: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26"/>
              </w:rPr>
              <w:t>组织管理工</w:t>
            </w: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7"/>
              </w:rPr>
              <w:t>作（含会员发</w:t>
            </w: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28"/>
              </w:rPr>
              <w:t>展和管理）</w:t>
            </w:r>
          </w:p>
        </w:tc>
        <w:tc>
          <w:tcPr>
            <w:tcW w:w="455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116" w:firstLine="12"/>
              <w:spacing w:before="71" w:line="239" w:lineRule="auto"/>
              <w:rPr/>
            </w:pPr>
            <w:r>
              <w:rPr>
                <w:spacing w:val="-11"/>
              </w:rPr>
              <w:t>18</w:t>
            </w:r>
            <w:r>
              <w:rPr>
                <w:spacing w:val="-10"/>
              </w:rPr>
              <w:t>分</w:t>
            </w:r>
          </w:p>
        </w:tc>
        <w:tc>
          <w:tcPr>
            <w:tcW w:w="54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 w:right="160" w:firstLine="64"/>
              <w:spacing w:before="72" w:line="241" w:lineRule="auto"/>
              <w:rPr/>
            </w:pPr>
            <w:r>
              <w:rPr>
                <w:spacing w:val="-20"/>
              </w:rPr>
              <w:t>5</w:t>
            </w:r>
            <w:r>
              <w:rPr>
                <w:spacing w:val="-10"/>
              </w:rPr>
              <w:t>分</w:t>
            </w:r>
          </w:p>
        </w:tc>
        <w:tc>
          <w:tcPr>
            <w:tcW w:w="1847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5" w:right="151" w:hanging="335"/>
              <w:spacing w:before="72" w:line="241" w:lineRule="auto"/>
              <w:rPr/>
            </w:pPr>
            <w:r>
              <w:rPr>
                <w:spacing w:val="-2"/>
              </w:rPr>
              <w:t>组织架构健全并</w:t>
            </w:r>
            <w:r>
              <w:rPr>
                <w:spacing w:val="-4"/>
              </w:rPr>
              <w:t>开展工作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27"/>
              <w:spacing w:before="132" w:line="214" w:lineRule="auto"/>
              <w:rPr/>
            </w:pPr>
            <w:r>
              <w:rPr>
                <w:spacing w:val="-1"/>
              </w:rPr>
              <w:t>1.设有主任委员（候任主任委员）、副主任委员、常务委员、委员等（1分</w:t>
            </w:r>
            <w:r>
              <w:rPr>
                <w:spacing w:val="15"/>
              </w:rPr>
              <w:t>）；</w:t>
            </w:r>
          </w:p>
          <w:p>
            <w:pPr>
              <w:pStyle w:val="TableText"/>
              <w:ind w:left="121"/>
              <w:spacing w:before="30" w:line="214" w:lineRule="auto"/>
              <w:rPr/>
            </w:pPr>
            <w:r>
              <w:rPr>
                <w:spacing w:val="-1"/>
              </w:rPr>
              <w:t>2.届满按照规定完成换届选举，未届满者直接得分（2分</w:t>
            </w:r>
            <w:r>
              <w:rPr>
                <w:spacing w:val="13"/>
              </w:rPr>
              <w:t>）；</w:t>
            </w:r>
          </w:p>
          <w:p>
            <w:pPr>
              <w:pStyle w:val="TableText"/>
              <w:ind w:left="127" w:right="175" w:firstLine="2"/>
              <w:spacing w:before="30" w:line="227" w:lineRule="auto"/>
              <w:rPr/>
            </w:pPr>
            <w:r>
              <w:rPr>
                <w:spacing w:val="-1"/>
              </w:rPr>
              <w:t>3.每年须召开一次全体委员会议，半年召开一次常务委员会议，且出席委员/常委须超过</w:t>
            </w:r>
            <w:r>
              <w:rPr>
                <w:spacing w:val="-1"/>
              </w:rPr>
              <w:t>总人数的2/3，及时上报考勤数据和会议纪要（2分）。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43" w:hRule="atLeast"/>
        </w:trPr>
        <w:tc>
          <w:tcPr>
            <w:tcW w:w="141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3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 w:right="160" w:firstLine="64"/>
              <w:spacing w:before="72" w:line="241" w:lineRule="auto"/>
              <w:rPr/>
            </w:pPr>
            <w:r>
              <w:rPr>
                <w:spacing w:val="-20"/>
              </w:rPr>
              <w:t>5</w:t>
            </w:r>
            <w:r>
              <w:rPr>
                <w:spacing w:val="-10"/>
              </w:rPr>
              <w:t>分</w:t>
            </w:r>
          </w:p>
        </w:tc>
        <w:tc>
          <w:tcPr>
            <w:tcW w:w="1847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08" w:right="370" w:hanging="326"/>
              <w:spacing w:before="71" w:line="239" w:lineRule="auto"/>
              <w:rPr/>
            </w:pPr>
            <w:r>
              <w:rPr>
                <w:spacing w:val="-3"/>
              </w:rPr>
              <w:t>会员发展与</w:t>
            </w:r>
            <w:r>
              <w:rPr>
                <w:spacing w:val="-4"/>
              </w:rPr>
              <w:t>管理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20"/>
              <w:spacing w:before="141" w:line="214" w:lineRule="auto"/>
              <w:rPr/>
            </w:pPr>
            <w:r>
              <w:rPr>
                <w:spacing w:val="-1"/>
              </w:rPr>
              <w:t>专科分会委员必须为广西医学会会员，并按时缴纳年度个人会费。</w:t>
            </w:r>
          </w:p>
          <w:p>
            <w:pPr>
              <w:pStyle w:val="TableText"/>
              <w:ind w:left="127"/>
              <w:spacing w:before="30" w:line="214" w:lineRule="auto"/>
              <w:rPr/>
            </w:pPr>
            <w:r>
              <w:rPr>
                <w:spacing w:val="-2"/>
              </w:rPr>
              <w:t>1.完成率达100%（5分</w:t>
            </w:r>
            <w:r>
              <w:rPr>
                <w:spacing w:val="11"/>
              </w:rPr>
              <w:t>）；</w:t>
            </w:r>
          </w:p>
          <w:p>
            <w:pPr>
              <w:pStyle w:val="TableText"/>
              <w:ind w:left="121"/>
              <w:spacing w:before="28" w:line="214" w:lineRule="auto"/>
              <w:rPr/>
            </w:pPr>
            <w:r>
              <w:rPr>
                <w:spacing w:val="-2"/>
              </w:rPr>
              <w:t>2.完成率达90%（3分</w:t>
            </w:r>
            <w:r>
              <w:rPr>
                <w:spacing w:val="12"/>
              </w:rPr>
              <w:t>）；</w:t>
            </w:r>
          </w:p>
          <w:p>
            <w:pPr>
              <w:pStyle w:val="TableText"/>
              <w:ind w:left="130"/>
              <w:spacing w:before="30" w:line="214" w:lineRule="auto"/>
              <w:rPr/>
            </w:pPr>
            <w:r>
              <w:rPr>
                <w:spacing w:val="-3"/>
              </w:rPr>
              <w:t>3.完成率达80%（2分</w:t>
            </w:r>
            <w:r>
              <w:rPr>
                <w:spacing w:val="14"/>
              </w:rPr>
              <w:t>）；</w:t>
            </w:r>
          </w:p>
          <w:p>
            <w:pPr>
              <w:pStyle w:val="TableText"/>
              <w:ind w:left="120"/>
              <w:spacing w:before="30" w:line="214" w:lineRule="auto"/>
              <w:rPr/>
            </w:pPr>
            <w:r>
              <w:rPr>
                <w:spacing w:val="-1"/>
              </w:rPr>
              <w:t>4.完成率低于80%，本项不得分。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246" w:hRule="atLeast"/>
        </w:trPr>
        <w:tc>
          <w:tcPr>
            <w:tcW w:w="14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3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 w:right="160" w:firstLine="63"/>
              <w:spacing w:before="71" w:line="239" w:lineRule="auto"/>
              <w:rPr/>
            </w:pPr>
            <w:r>
              <w:rPr>
                <w:spacing w:val="-19"/>
              </w:rPr>
              <w:t>8</w:t>
            </w:r>
            <w:r>
              <w:rPr>
                <w:spacing w:val="-10"/>
              </w:rPr>
              <w:t>分</w:t>
            </w:r>
          </w:p>
        </w:tc>
        <w:tc>
          <w:tcPr>
            <w:tcW w:w="1847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7" w:right="151" w:hanging="339"/>
              <w:spacing w:before="71" w:line="238" w:lineRule="auto"/>
              <w:rPr/>
            </w:pPr>
            <w:r>
              <w:rPr>
                <w:spacing w:val="-2"/>
              </w:rPr>
              <w:t>按时完成学会交</w:t>
            </w:r>
            <w:r>
              <w:rPr>
                <w:spacing w:val="-5"/>
              </w:rPr>
              <w:t>办的工作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19" w:right="103" w:hanging="6"/>
              <w:spacing w:before="159" w:line="237" w:lineRule="auto"/>
              <w:rPr/>
            </w:pPr>
            <w:r>
              <w:rPr>
                <w:spacing w:val="-1"/>
              </w:rPr>
              <w:t>每年按时提交年度总结和计划、学会要求上报的其他资料，积极参与学会</w:t>
            </w:r>
            <w:r>
              <w:rPr>
                <w:spacing w:val="-2"/>
              </w:rPr>
              <w:t>组织的评审、论</w:t>
            </w:r>
            <w:r>
              <w:rPr>
                <w:spacing w:val="-3"/>
              </w:rPr>
              <w:t>证等工作。</w:t>
            </w:r>
          </w:p>
          <w:p>
            <w:pPr>
              <w:pStyle w:val="TableText"/>
              <w:ind w:left="118" w:right="100" w:firstLine="8"/>
              <w:spacing w:before="4" w:line="227" w:lineRule="auto"/>
              <w:rPr/>
            </w:pPr>
            <w:r>
              <w:rPr>
                <w:spacing w:val="-1"/>
              </w:rPr>
              <w:t>1.新成立分会及换届分会需提交本届学科发展规划</w:t>
            </w:r>
            <w:r>
              <w:rPr>
                <w:spacing w:val="-2"/>
              </w:rPr>
              <w:t>，科学合理，可操作性强，并经分会常</w:t>
            </w:r>
            <w:r>
              <w:rPr>
                <w:spacing w:val="-2"/>
              </w:rPr>
              <w:t>委会讨论（3分</w:t>
            </w:r>
            <w:r>
              <w:rPr>
                <w:spacing w:val="9"/>
              </w:rPr>
              <w:t>）；</w:t>
            </w:r>
          </w:p>
          <w:p>
            <w:pPr>
              <w:pStyle w:val="TableText"/>
              <w:ind w:left="121"/>
              <w:spacing w:before="29" w:line="214" w:lineRule="auto"/>
              <w:rPr/>
            </w:pPr>
            <w:r>
              <w:rPr>
                <w:spacing w:val="-1"/>
              </w:rPr>
              <w:t>2.按时提交年度总结及计划，并经过常委会讨论（3分</w:t>
            </w:r>
            <w:r>
              <w:rPr>
                <w:spacing w:val="13"/>
              </w:rPr>
              <w:t>）；</w:t>
            </w:r>
          </w:p>
          <w:p>
            <w:pPr>
              <w:pStyle w:val="TableText"/>
              <w:ind w:left="130"/>
              <w:spacing w:before="30" w:line="214" w:lineRule="auto"/>
              <w:rPr/>
            </w:pPr>
            <w:r>
              <w:rPr>
                <w:spacing w:val="-2"/>
              </w:rPr>
              <w:t>3.及时接收并按要求转发学会的通知（1分</w:t>
            </w:r>
            <w:r>
              <w:rPr>
                <w:spacing w:val="16"/>
              </w:rPr>
              <w:t>）；</w:t>
            </w:r>
          </w:p>
          <w:p>
            <w:pPr>
              <w:pStyle w:val="TableText"/>
              <w:ind w:left="120"/>
              <w:spacing w:before="30" w:line="214" w:lineRule="auto"/>
              <w:rPr/>
            </w:pPr>
            <w:r>
              <w:rPr/>
              <w:t>4.完成学会委托的各项工作，包括医学鉴定、技</w:t>
            </w:r>
            <w:r>
              <w:rPr>
                <w:spacing w:val="-1"/>
              </w:rPr>
              <w:t>术评估、科技评审等工作（1分）。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39" w:h="11906"/>
          <w:pgMar w:top="1012" w:right="1284" w:bottom="0" w:left="1021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121" w:lineRule="exact"/>
        <w:rPr/>
      </w:pPr>
      <w:r/>
    </w:p>
    <w:tbl>
      <w:tblPr>
        <w:tblStyle w:val="TableNormal"/>
        <w:tblW w:w="1452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417"/>
        <w:gridCol w:w="455"/>
        <w:gridCol w:w="543"/>
        <w:gridCol w:w="1847"/>
        <w:gridCol w:w="8757"/>
        <w:gridCol w:w="776"/>
        <w:gridCol w:w="732"/>
      </w:tblGrid>
      <w:tr>
        <w:trPr>
          <w:trHeight w:val="2861" w:hRule="atLeast"/>
        </w:trPr>
        <w:tc>
          <w:tcPr>
            <w:tcW w:w="1417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11"/>
              <w:spacing w:before="62" w:line="26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6"/>
                <w:position w:val="1"/>
              </w:rPr>
              <w:t>二、学术会议</w:t>
            </w:r>
          </w:p>
        </w:tc>
        <w:tc>
          <w:tcPr>
            <w:tcW w:w="455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116" w:firstLine="6"/>
              <w:spacing w:before="71" w:line="241" w:lineRule="auto"/>
              <w:rPr/>
            </w:pPr>
            <w:r>
              <w:rPr>
                <w:spacing w:val="-9"/>
              </w:rPr>
              <w:t>25</w:t>
            </w:r>
            <w:r>
              <w:rPr>
                <w:spacing w:val="-10"/>
              </w:rPr>
              <w:t>分</w:t>
            </w:r>
          </w:p>
        </w:tc>
        <w:tc>
          <w:tcPr>
            <w:tcW w:w="54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 w:right="160" w:firstLine="6"/>
              <w:spacing w:before="71" w:line="241" w:lineRule="auto"/>
              <w:rPr/>
            </w:pPr>
            <w:r>
              <w:rPr>
                <w:spacing w:val="-9"/>
              </w:rPr>
              <w:t>25</w:t>
            </w:r>
            <w:r>
              <w:rPr>
                <w:spacing w:val="-10"/>
              </w:rPr>
              <w:t>分</w:t>
            </w:r>
          </w:p>
        </w:tc>
        <w:tc>
          <w:tcPr>
            <w:tcW w:w="1847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4"/>
              <w:spacing w:before="72" w:line="214" w:lineRule="auto"/>
              <w:rPr/>
            </w:pPr>
            <w:r>
              <w:rPr>
                <w:spacing w:val="-1"/>
              </w:rPr>
              <w:t>举办学术会议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05" w:right="103" w:firstLine="22"/>
              <w:spacing w:before="38" w:line="235" w:lineRule="auto"/>
              <w:rPr/>
            </w:pPr>
            <w:r>
              <w:rPr>
                <w:spacing w:val="-1"/>
              </w:rPr>
              <w:t>1.承办或以广西医学会主办以下任一类型会</w:t>
            </w:r>
            <w:r>
              <w:rPr>
                <w:spacing w:val="-2"/>
              </w:rPr>
              <w:t>议：①国际性学术会议、中华医学会专科分会</w:t>
            </w:r>
            <w:r>
              <w:rPr>
                <w:spacing w:val="-1"/>
              </w:rPr>
              <w:t>（含学组）年会（得25分）；②西部地区、中南地区等跨省区域性学术会议（得23分）；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③专科分会学术年会（得20分）。（共25分</w:t>
            </w:r>
            <w:r>
              <w:rPr>
                <w:spacing w:val="2"/>
              </w:rPr>
              <w:t>）；</w:t>
            </w:r>
            <w:r>
              <w:rPr>
                <w:spacing w:val="-1"/>
              </w:rPr>
              <w:t>为确保会议成果得到有效沉淀与</w:t>
            </w:r>
            <w:r>
              <w:rPr>
                <w:spacing w:val="-2"/>
              </w:rPr>
              <w:t>传播，所</w:t>
            </w:r>
            <w:r>
              <w:rPr>
                <w:spacing w:val="-1"/>
              </w:rPr>
              <w:t>有承办或主办单位需在会议结束一周内，及时整理并上报相关归档材料，材料应涵盖会议</w:t>
            </w:r>
            <w:r>
              <w:rPr>
                <w:spacing w:val="-1"/>
              </w:rPr>
              <w:t>论文、现场照片、全面的会议总结等内容。同时，还需积极开展会议宣传报道工作，通过</w:t>
            </w:r>
            <w:r>
              <w:rPr/>
              <w:t>各类媒体渠道，扩大会议影响力。</w:t>
            </w:r>
          </w:p>
          <w:p>
            <w:pPr>
              <w:pStyle w:val="TableText"/>
              <w:ind w:left="118" w:right="100" w:firstLine="3"/>
              <w:spacing w:before="31" w:line="231" w:lineRule="auto"/>
              <w:rPr/>
            </w:pPr>
            <w:r>
              <w:rPr>
                <w:spacing w:val="-1"/>
              </w:rPr>
              <w:t>2.加分项：①中华医学会专科分会年会、国际性学术会议、西</w:t>
            </w:r>
            <w:r>
              <w:rPr>
                <w:spacing w:val="-2"/>
              </w:rPr>
              <w:t>部地区、中南地区等区域性</w:t>
            </w:r>
            <w:r>
              <w:rPr>
                <w:spacing w:val="1"/>
              </w:rPr>
              <w:t>学术会议，参会注册人员800人以上（</w:t>
            </w:r>
            <w:r>
              <w:rPr>
                <w:rFonts w:ascii="SimSun" w:hAnsi="SimSun" w:eastAsia="SimSun" w:cs="SimSun"/>
                <w:spacing w:val="1"/>
              </w:rPr>
              <w:t>得</w:t>
            </w:r>
            <w:r>
              <w:rPr>
                <w:spacing w:val="1"/>
              </w:rPr>
              <w:t>4分</w:t>
            </w:r>
            <w:r>
              <w:rPr>
                <w:spacing w:val="9"/>
              </w:rPr>
              <w:t>）；</w:t>
            </w:r>
            <w:r>
              <w:rPr>
                <w:spacing w:val="1"/>
              </w:rPr>
              <w:t>专科分会学术年会参会注册人数300人以</w:t>
            </w:r>
            <w:r>
              <w:rPr>
                <w:spacing w:val="1"/>
              </w:rPr>
              <w:t>上（</w:t>
            </w:r>
            <w:r>
              <w:rPr>
                <w:rFonts w:ascii="SimSun" w:hAnsi="SimSun" w:eastAsia="SimSun" w:cs="SimSun"/>
                <w:spacing w:val="1"/>
              </w:rPr>
              <w:t>得</w:t>
            </w:r>
            <w:r>
              <w:rPr>
                <w:spacing w:val="1"/>
              </w:rPr>
              <w:t>2分</w:t>
            </w:r>
            <w:r>
              <w:rPr>
                <w:spacing w:val="12"/>
              </w:rPr>
              <w:t>）；</w:t>
            </w:r>
            <w:r>
              <w:rPr>
                <w:spacing w:val="1"/>
              </w:rPr>
              <w:t>②内容丰富多样：含征文、疑难病例讨论、演讲比赛、科普作品展示</w:t>
            </w:r>
            <w:r>
              <w:rPr/>
              <w:t>、科</w:t>
            </w:r>
            <w:r>
              <w:rPr>
                <w:spacing w:val="-2"/>
              </w:rPr>
              <w:t>普比赛等（</w:t>
            </w:r>
            <w:r>
              <w:rPr>
                <w:rFonts w:ascii="SimSun" w:hAnsi="SimSun" w:eastAsia="SimSun" w:cs="SimSun"/>
                <w:spacing w:val="-2"/>
              </w:rPr>
              <w:t>得</w:t>
            </w:r>
            <w:r>
              <w:rPr>
                <w:spacing w:val="-2"/>
              </w:rPr>
              <w:t>2分</w:t>
            </w:r>
            <w:r>
              <w:rPr>
                <w:spacing w:val="10"/>
              </w:rPr>
              <w:t>）；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04" w:hRule="atLeast"/>
        </w:trPr>
        <w:tc>
          <w:tcPr>
            <w:tcW w:w="1417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ind w:left="307" w:right="108" w:hanging="196"/>
              <w:spacing w:before="62" w:line="31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6"/>
              </w:rPr>
              <w:t>三、对外交流</w:t>
            </w: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7"/>
              </w:rPr>
              <w:t>学术活动</w:t>
            </w:r>
          </w:p>
        </w:tc>
        <w:tc>
          <w:tcPr>
            <w:tcW w:w="455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116" w:firstLine="61"/>
              <w:spacing w:before="72" w:line="241" w:lineRule="auto"/>
              <w:rPr/>
            </w:pPr>
            <w:r>
              <w:rPr>
                <w:spacing w:val="-16"/>
              </w:rPr>
              <w:t>4</w:t>
            </w:r>
            <w:r>
              <w:rPr>
                <w:spacing w:val="-10"/>
              </w:rPr>
              <w:t>分</w:t>
            </w:r>
          </w:p>
        </w:tc>
        <w:tc>
          <w:tcPr>
            <w:tcW w:w="543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 w:right="160" w:firstLine="61"/>
              <w:spacing w:before="72" w:line="241" w:lineRule="auto"/>
              <w:rPr/>
            </w:pPr>
            <w:r>
              <w:rPr>
                <w:spacing w:val="-16"/>
              </w:rPr>
              <w:t>4</w:t>
            </w:r>
            <w:r>
              <w:rPr>
                <w:spacing w:val="-10"/>
              </w:rPr>
              <w:t>分</w:t>
            </w:r>
          </w:p>
        </w:tc>
        <w:tc>
          <w:tcPr>
            <w:tcW w:w="1847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8" w:right="151" w:hanging="219"/>
              <w:spacing w:before="71"/>
              <w:rPr/>
            </w:pPr>
            <w:r>
              <w:rPr>
                <w:spacing w:val="-2"/>
              </w:rPr>
              <w:t>积极开展对外交</w:t>
            </w:r>
            <w:r>
              <w:rPr>
                <w:spacing w:val="-2"/>
              </w:rPr>
              <w:t>流学术活动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27"/>
              <w:spacing w:before="115" w:line="214" w:lineRule="auto"/>
              <w:rPr/>
            </w:pPr>
            <w:r>
              <w:rPr>
                <w:spacing w:val="-1"/>
              </w:rPr>
              <w:t>1.积极开展一次面向东盟等其他国家的学术会议（1分</w:t>
            </w:r>
            <w:r>
              <w:rPr>
                <w:spacing w:val="11"/>
              </w:rPr>
              <w:t>）；</w:t>
            </w:r>
          </w:p>
          <w:p>
            <w:pPr>
              <w:pStyle w:val="TableText"/>
              <w:ind w:left="123" w:right="103" w:hanging="2"/>
              <w:spacing w:before="27" w:line="227" w:lineRule="auto"/>
              <w:rPr/>
            </w:pPr>
            <w:r>
              <w:rPr>
                <w:spacing w:val="-1"/>
              </w:rPr>
              <w:t>2.落实广西与越南边境四省党委书记新春会晤活动精神</w:t>
            </w:r>
            <w:r>
              <w:rPr>
                <w:spacing w:val="-2"/>
              </w:rPr>
              <w:t>，积极开展面向越南边境四省（河</w:t>
            </w:r>
            <w:r>
              <w:rPr>
                <w:spacing w:val="-1"/>
              </w:rPr>
              <w:t>江省、广宁省、谅山省、高平省）学术交流活动（3分</w:t>
            </w:r>
            <w:r>
              <w:rPr>
                <w:spacing w:val="12"/>
              </w:rPr>
              <w:t>）；</w:t>
            </w:r>
          </w:p>
          <w:p>
            <w:pPr>
              <w:pStyle w:val="TableText"/>
              <w:ind w:left="130"/>
              <w:spacing w:before="29" w:line="214" w:lineRule="auto"/>
              <w:rPr/>
            </w:pPr>
            <w:r>
              <w:rPr>
                <w:spacing w:val="-2"/>
              </w:rPr>
              <w:t>3.年度内未开展对外交流学术活动，倒扣1分。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03" w:hRule="atLeast"/>
        </w:trPr>
        <w:tc>
          <w:tcPr>
            <w:tcW w:w="1417" w:type="dxa"/>
            <w:vAlign w:val="top"/>
          </w:tcPr>
          <w:p>
            <w:pPr>
              <w:ind w:left="310" w:right="108" w:hanging="189"/>
              <w:spacing w:before="237" w:line="297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5"/>
              </w:rPr>
              <w:t>四、继续医学</w:t>
            </w: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6"/>
              </w:rPr>
              <w:t>教育项目</w:t>
            </w:r>
          </w:p>
        </w:tc>
        <w:tc>
          <w:tcPr>
            <w:tcW w:w="455" w:type="dxa"/>
            <w:vAlign w:val="top"/>
          </w:tcPr>
          <w:p>
            <w:pPr>
              <w:pStyle w:val="TableText"/>
              <w:ind w:left="123" w:right="116" w:firstLine="63"/>
              <w:spacing w:before="250" w:line="239" w:lineRule="auto"/>
              <w:rPr/>
            </w:pPr>
            <w:r>
              <w:rPr>
                <w:spacing w:val="-19"/>
              </w:rPr>
              <w:t>8</w:t>
            </w:r>
            <w:r>
              <w:rPr>
                <w:spacing w:val="-10"/>
              </w:rPr>
              <w:t>分</w:t>
            </w:r>
          </w:p>
        </w:tc>
        <w:tc>
          <w:tcPr>
            <w:tcW w:w="543" w:type="dxa"/>
            <w:vAlign w:val="top"/>
          </w:tcPr>
          <w:p>
            <w:pPr>
              <w:pStyle w:val="TableText"/>
              <w:ind w:left="167" w:right="160" w:firstLine="63"/>
              <w:spacing w:before="250" w:line="239" w:lineRule="auto"/>
              <w:rPr/>
            </w:pPr>
            <w:r>
              <w:rPr>
                <w:spacing w:val="-19"/>
              </w:rPr>
              <w:t>8</w:t>
            </w:r>
            <w:r>
              <w:rPr>
                <w:spacing w:val="-10"/>
              </w:rPr>
              <w:t>分</w:t>
            </w:r>
          </w:p>
        </w:tc>
        <w:tc>
          <w:tcPr>
            <w:tcW w:w="1847" w:type="dxa"/>
            <w:vAlign w:val="top"/>
          </w:tcPr>
          <w:p>
            <w:pPr>
              <w:pStyle w:val="TableText"/>
              <w:ind w:left="377" w:right="151" w:hanging="187"/>
              <w:spacing w:before="251" w:line="237" w:lineRule="auto"/>
              <w:rPr/>
            </w:pPr>
            <w:r>
              <w:rPr>
                <w:spacing w:val="-6"/>
              </w:rPr>
              <w:t>申报并举办继续</w:t>
            </w:r>
            <w:r>
              <w:rPr>
                <w:spacing w:val="-2"/>
              </w:rPr>
              <w:t>教育学习班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27"/>
              <w:spacing w:before="107" w:line="214" w:lineRule="auto"/>
              <w:rPr/>
            </w:pPr>
            <w:r>
              <w:rPr>
                <w:spacing w:val="-4"/>
              </w:rPr>
              <w:t>1.申报国家级、</w:t>
            </w:r>
            <w:r>
              <w:rPr>
                <w:spacing w:val="-61"/>
              </w:rPr>
              <w:t xml:space="preserve"> </w:t>
            </w:r>
            <w:r>
              <w:rPr>
                <w:spacing w:val="-4"/>
              </w:rPr>
              <w:t>自治区级继续教育学习班（3分</w:t>
            </w:r>
            <w:r>
              <w:rPr>
                <w:spacing w:val="18"/>
              </w:rPr>
              <w:t>）；</w:t>
            </w:r>
          </w:p>
          <w:p>
            <w:pPr>
              <w:pStyle w:val="TableText"/>
              <w:ind w:left="121"/>
              <w:spacing w:before="30" w:line="214" w:lineRule="auto"/>
              <w:rPr/>
            </w:pPr>
            <w:r>
              <w:rPr>
                <w:spacing w:val="-1"/>
              </w:rPr>
              <w:t>2.按规定举办学习班，会后2周内提交项目执行情况反馈材料（4分</w:t>
            </w:r>
            <w:r>
              <w:rPr>
                <w:spacing w:val="16"/>
              </w:rPr>
              <w:t>）；</w:t>
            </w:r>
          </w:p>
          <w:p>
            <w:pPr>
              <w:pStyle w:val="TableText"/>
              <w:ind w:left="130"/>
              <w:spacing w:before="30" w:line="214" w:lineRule="auto"/>
              <w:rPr/>
            </w:pPr>
            <w:r>
              <w:rPr>
                <w:spacing w:val="-1"/>
              </w:rPr>
              <w:t>3.继教项目平台数据显示学员满意度达80%及以上（1分）。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65" w:hRule="atLeast"/>
        </w:trPr>
        <w:tc>
          <w:tcPr>
            <w:tcW w:w="1417" w:type="dxa"/>
            <w:vAlign w:val="top"/>
            <w:vMerge w:val="restart"/>
            <w:tcBorders>
              <w:bottom w:val="nil"/>
            </w:tcBorders>
          </w:tcPr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ind w:left="111"/>
              <w:spacing w:before="62" w:line="266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6"/>
                <w:position w:val="1"/>
              </w:rPr>
              <w:t>五、人才培养</w:t>
            </w:r>
          </w:p>
        </w:tc>
        <w:tc>
          <w:tcPr>
            <w:tcW w:w="455" w:type="dxa"/>
            <w:vAlign w:val="top"/>
            <w:vMerge w:val="restart"/>
            <w:tcBorders>
              <w:bottom w:val="nil"/>
            </w:tcBorders>
          </w:tcPr>
          <w:p>
            <w:pPr>
              <w:spacing w:line="4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116" w:firstLine="63"/>
              <w:spacing w:before="71" w:line="241" w:lineRule="auto"/>
              <w:rPr/>
            </w:pPr>
            <w:r>
              <w:rPr>
                <w:spacing w:val="-19"/>
              </w:rPr>
              <w:t>8</w:t>
            </w:r>
            <w:r>
              <w:rPr>
                <w:spacing w:val="-10"/>
              </w:rPr>
              <w:t>分</w:t>
            </w:r>
          </w:p>
        </w:tc>
        <w:tc>
          <w:tcPr>
            <w:tcW w:w="543" w:type="dxa"/>
            <w:vAlign w:val="top"/>
          </w:tcPr>
          <w:p>
            <w:pPr>
              <w:pStyle w:val="TableText"/>
              <w:ind w:left="167" w:right="160" w:firstLine="61"/>
              <w:spacing w:before="130" w:line="241" w:lineRule="auto"/>
              <w:rPr/>
            </w:pPr>
            <w:r>
              <w:rPr>
                <w:spacing w:val="-16"/>
              </w:rPr>
              <w:t>4</w:t>
            </w:r>
            <w:r>
              <w:rPr>
                <w:spacing w:val="-10"/>
              </w:rPr>
              <w:t>分</w:t>
            </w:r>
          </w:p>
        </w:tc>
        <w:tc>
          <w:tcPr>
            <w:tcW w:w="1847" w:type="dxa"/>
            <w:vAlign w:val="top"/>
          </w:tcPr>
          <w:p>
            <w:pPr>
              <w:pStyle w:val="TableText"/>
              <w:ind w:left="170"/>
              <w:spacing w:before="275" w:line="214" w:lineRule="auto"/>
              <w:rPr/>
            </w:pPr>
            <w:r>
              <w:rPr>
                <w:spacing w:val="-3"/>
              </w:rPr>
              <w:t>学科带头人培养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14"/>
              <w:spacing w:before="275" w:line="214" w:lineRule="auto"/>
              <w:rPr/>
            </w:pPr>
            <w:r>
              <w:rPr/>
              <w:t>积极推荐和培养学科带头人，学科带头人在区内外学术界具</w:t>
            </w:r>
            <w:r>
              <w:rPr>
                <w:spacing w:val="-1"/>
              </w:rPr>
              <w:t>有一定影响力（4分）。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05" w:hRule="atLeast"/>
        </w:trPr>
        <w:tc>
          <w:tcPr>
            <w:tcW w:w="14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3" w:type="dxa"/>
            <w:vAlign w:val="top"/>
          </w:tcPr>
          <w:p>
            <w:pPr>
              <w:pStyle w:val="TableText"/>
              <w:ind w:left="167" w:right="160" w:firstLine="61"/>
              <w:spacing w:before="150" w:line="241" w:lineRule="auto"/>
              <w:rPr/>
            </w:pPr>
            <w:r>
              <w:rPr>
                <w:spacing w:val="-16"/>
              </w:rPr>
              <w:t>4</w:t>
            </w:r>
            <w:r>
              <w:rPr>
                <w:spacing w:val="-10"/>
              </w:rPr>
              <w:t>分</w:t>
            </w:r>
          </w:p>
        </w:tc>
        <w:tc>
          <w:tcPr>
            <w:tcW w:w="1847" w:type="dxa"/>
            <w:vAlign w:val="top"/>
          </w:tcPr>
          <w:p>
            <w:pPr>
              <w:pStyle w:val="TableText"/>
              <w:ind w:left="275"/>
              <w:spacing w:before="294" w:line="214" w:lineRule="auto"/>
              <w:rPr/>
            </w:pPr>
            <w:r>
              <w:rPr>
                <w:spacing w:val="-3"/>
              </w:rPr>
              <w:t>青年人才培养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27"/>
              <w:spacing w:before="150" w:line="214" w:lineRule="auto"/>
              <w:rPr/>
            </w:pPr>
            <w:r>
              <w:rPr>
                <w:spacing w:val="-1"/>
              </w:rPr>
              <w:t>1.重视青年人才培养，制定青年人才培养计划（2分</w:t>
            </w:r>
            <w:r>
              <w:rPr>
                <w:spacing w:val="10"/>
              </w:rPr>
              <w:t>）；</w:t>
            </w:r>
          </w:p>
          <w:p>
            <w:pPr>
              <w:pStyle w:val="TableText"/>
              <w:ind w:left="121"/>
              <w:spacing w:before="30" w:line="214" w:lineRule="auto"/>
              <w:rPr/>
            </w:pPr>
            <w:r>
              <w:rPr>
                <w:spacing w:val="-1"/>
              </w:rPr>
              <w:t>2.组织开展青年医师培训、学术交流等活动（2分）。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65" w:hRule="atLeast"/>
        </w:trPr>
        <w:tc>
          <w:tcPr>
            <w:tcW w:w="1417" w:type="dxa"/>
            <w:vAlign w:val="top"/>
            <w:vMerge w:val="restart"/>
            <w:tcBorders>
              <w:bottom w:val="nil"/>
            </w:tcBorders>
          </w:tcPr>
          <w:p>
            <w:pPr>
              <w:spacing w:line="477" w:lineRule="auto"/>
              <w:rPr>
                <w:rFonts w:ascii="Arial"/>
                <w:sz w:val="21"/>
              </w:rPr>
            </w:pPr>
            <w:r/>
          </w:p>
          <w:p>
            <w:pPr>
              <w:ind w:left="111"/>
              <w:spacing w:before="62" w:line="267" w:lineRule="exact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6"/>
                <w:position w:val="1"/>
              </w:rPr>
              <w:t>六、科普宣传</w:t>
            </w:r>
          </w:p>
        </w:tc>
        <w:tc>
          <w:tcPr>
            <w:tcW w:w="455" w:type="dxa"/>
            <w:vAlign w:val="top"/>
            <w:vMerge w:val="restart"/>
            <w:tcBorders>
              <w:bottom w:val="nil"/>
            </w:tcBorders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116" w:firstLine="12"/>
              <w:spacing w:before="72" w:line="241" w:lineRule="auto"/>
              <w:rPr/>
            </w:pPr>
            <w:r>
              <w:rPr>
                <w:spacing w:val="-11"/>
              </w:rPr>
              <w:t>10</w:t>
            </w:r>
            <w:r>
              <w:rPr>
                <w:spacing w:val="-10"/>
              </w:rPr>
              <w:t>分</w:t>
            </w:r>
          </w:p>
        </w:tc>
        <w:tc>
          <w:tcPr>
            <w:tcW w:w="543" w:type="dxa"/>
            <w:vAlign w:val="top"/>
          </w:tcPr>
          <w:p>
            <w:pPr>
              <w:pStyle w:val="TableText"/>
              <w:ind w:left="231"/>
              <w:spacing w:before="81" w:line="238" w:lineRule="auto"/>
              <w:rPr/>
            </w:pPr>
            <w:r>
              <w:rPr/>
              <w:t>6</w:t>
            </w:r>
          </w:p>
          <w:p>
            <w:pPr>
              <w:pStyle w:val="TableText"/>
              <w:ind w:left="167"/>
              <w:spacing w:before="1" w:line="217" w:lineRule="auto"/>
              <w:rPr/>
            </w:pPr>
            <w:r>
              <w:rPr/>
              <w:t>分</w:t>
            </w:r>
          </w:p>
        </w:tc>
        <w:tc>
          <w:tcPr>
            <w:tcW w:w="1847" w:type="dxa"/>
            <w:vAlign w:val="top"/>
          </w:tcPr>
          <w:p>
            <w:pPr>
              <w:pStyle w:val="TableText"/>
              <w:ind w:left="488"/>
              <w:spacing w:before="223" w:line="217" w:lineRule="auto"/>
              <w:rPr/>
            </w:pPr>
            <w:r>
              <w:rPr>
                <w:spacing w:val="-2"/>
              </w:rPr>
              <w:t>科普活动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24" w:right="43" w:hanging="2"/>
              <w:spacing w:before="82" w:line="237" w:lineRule="auto"/>
              <w:rPr/>
            </w:pPr>
            <w:r>
              <w:rPr>
                <w:spacing w:val="-3"/>
              </w:rPr>
              <w:t>普及医学知识，提高公众健康素养，积极开展科普宣传、科普比赛等活动（举办一次4分，</w:t>
            </w:r>
            <w:r>
              <w:rPr>
                <w:spacing w:val="-2"/>
              </w:rPr>
              <w:t>二次及以上最高6分）。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5" w:hRule="atLeast"/>
        </w:trPr>
        <w:tc>
          <w:tcPr>
            <w:tcW w:w="14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3" w:type="dxa"/>
            <w:vAlign w:val="top"/>
          </w:tcPr>
          <w:p>
            <w:pPr>
              <w:pStyle w:val="TableText"/>
              <w:ind w:left="228"/>
              <w:spacing w:before="71" w:line="238" w:lineRule="auto"/>
              <w:rPr/>
            </w:pPr>
            <w:r>
              <w:rPr/>
              <w:t>4</w:t>
            </w:r>
          </w:p>
          <w:p>
            <w:pPr>
              <w:pStyle w:val="TableText"/>
              <w:ind w:left="167"/>
              <w:spacing w:before="1" w:line="217" w:lineRule="auto"/>
              <w:rPr/>
            </w:pPr>
            <w:r>
              <w:rPr/>
              <w:t>分</w:t>
            </w:r>
          </w:p>
        </w:tc>
        <w:tc>
          <w:tcPr>
            <w:tcW w:w="1847" w:type="dxa"/>
            <w:vAlign w:val="top"/>
          </w:tcPr>
          <w:p>
            <w:pPr>
              <w:pStyle w:val="TableText"/>
              <w:ind w:left="263"/>
              <w:spacing w:before="210" w:line="216" w:lineRule="auto"/>
              <w:rPr/>
            </w:pPr>
            <w:r>
              <w:rPr>
                <w:spacing w:val="-1"/>
              </w:rPr>
              <w:t>创作科普作品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15"/>
              <w:spacing w:before="214" w:line="214" w:lineRule="auto"/>
              <w:rPr/>
            </w:pPr>
            <w:r>
              <w:rPr/>
              <w:t>组织编写出版科普书籍、制作科普视频等，科普作品质量高</w:t>
            </w:r>
            <w:r>
              <w:rPr>
                <w:spacing w:val="-1"/>
              </w:rPr>
              <w:t>，传播范围广（4分）。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02" w:hRule="atLeast"/>
        </w:trPr>
        <w:tc>
          <w:tcPr>
            <w:tcW w:w="1417" w:type="dxa"/>
            <w:vAlign w:val="top"/>
            <w:vMerge w:val="restart"/>
            <w:tcBorders>
              <w:bottom w:val="nil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62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7"/>
              </w:rPr>
              <w:t>七、社会服务</w:t>
            </w:r>
          </w:p>
        </w:tc>
        <w:tc>
          <w:tcPr>
            <w:tcW w:w="455" w:type="dxa"/>
            <w:vAlign w:val="top"/>
            <w:vMerge w:val="restart"/>
            <w:tcBorders>
              <w:bottom w:val="nil"/>
            </w:tcBorders>
          </w:tcPr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116" w:firstLine="12"/>
              <w:spacing w:before="71" w:line="241" w:lineRule="auto"/>
              <w:rPr/>
            </w:pPr>
            <w:r>
              <w:rPr>
                <w:spacing w:val="-11"/>
              </w:rPr>
              <w:t>15</w:t>
            </w:r>
            <w:r>
              <w:rPr>
                <w:spacing w:val="-10"/>
              </w:rPr>
              <w:t>分</w:t>
            </w:r>
          </w:p>
        </w:tc>
        <w:tc>
          <w:tcPr>
            <w:tcW w:w="543" w:type="dxa"/>
            <w:vAlign w:val="top"/>
          </w:tcPr>
          <w:p>
            <w:pPr>
              <w:pStyle w:val="TableText"/>
              <w:ind w:left="167" w:right="160" w:firstLine="63"/>
              <w:spacing w:before="199" w:line="241" w:lineRule="auto"/>
              <w:rPr/>
            </w:pPr>
            <w:r>
              <w:rPr>
                <w:spacing w:val="-19"/>
              </w:rPr>
              <w:t>6</w:t>
            </w:r>
            <w:r>
              <w:rPr>
                <w:spacing w:val="-10"/>
              </w:rPr>
              <w:t>分</w:t>
            </w:r>
          </w:p>
        </w:tc>
        <w:tc>
          <w:tcPr>
            <w:tcW w:w="1847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5"/>
              <w:spacing w:before="72" w:line="217" w:lineRule="auto"/>
              <w:rPr/>
            </w:pPr>
            <w:r>
              <w:rPr>
                <w:spacing w:val="-3"/>
              </w:rPr>
              <w:t>专家下基层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13" w:right="103" w:firstLine="2"/>
              <w:spacing w:before="59" w:line="233" w:lineRule="auto"/>
              <w:jc w:val="both"/>
              <w:rPr/>
            </w:pPr>
            <w:r>
              <w:rPr/>
              <w:t>组织开展专家下基层活动，培训对象至少3个基层单位以上，内</w:t>
            </w:r>
            <w:r>
              <w:rPr>
                <w:spacing w:val="-1"/>
              </w:rPr>
              <w:t>容包括：授课、查房、义</w:t>
            </w:r>
            <w:r>
              <w:rPr>
                <w:spacing w:val="-1"/>
              </w:rPr>
              <w:t>诊咨询等活动，切实提升基层医务人员诊疗水平，切实为当地群众提供医</w:t>
            </w:r>
            <w:r>
              <w:rPr>
                <w:spacing w:val="-2"/>
              </w:rPr>
              <w:t>疗服务（举办一</w:t>
            </w:r>
            <w:r>
              <w:rPr>
                <w:spacing w:val="-1"/>
              </w:rPr>
              <w:t>次4分，二次及以上6分）。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8" w:hRule="atLeast"/>
        </w:trPr>
        <w:tc>
          <w:tcPr>
            <w:tcW w:w="14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3" w:type="dxa"/>
            <w:vAlign w:val="top"/>
          </w:tcPr>
          <w:p>
            <w:pPr>
              <w:pStyle w:val="TableText"/>
              <w:ind w:left="228"/>
              <w:spacing w:before="38" w:line="238" w:lineRule="auto"/>
              <w:rPr/>
            </w:pPr>
            <w:r>
              <w:rPr/>
              <w:t>4</w:t>
            </w:r>
          </w:p>
          <w:p>
            <w:pPr>
              <w:pStyle w:val="TableText"/>
              <w:ind w:left="167"/>
              <w:spacing w:line="206" w:lineRule="auto"/>
              <w:rPr/>
            </w:pPr>
            <w:r>
              <w:rPr/>
              <w:t>分</w:t>
            </w:r>
          </w:p>
        </w:tc>
        <w:tc>
          <w:tcPr>
            <w:tcW w:w="1847" w:type="dxa"/>
            <w:vAlign w:val="top"/>
          </w:tcPr>
          <w:p>
            <w:pPr>
              <w:pStyle w:val="TableText"/>
              <w:ind w:left="279"/>
              <w:spacing w:before="181" w:line="214" w:lineRule="auto"/>
              <w:rPr/>
            </w:pPr>
            <w:r>
              <w:rPr>
                <w:spacing w:val="-4"/>
              </w:rPr>
              <w:t>党旗领航活动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17" w:right="100" w:firstLine="2"/>
              <w:spacing w:before="38" w:line="222" w:lineRule="auto"/>
              <w:rPr/>
            </w:pPr>
            <w:r>
              <w:rPr>
                <w:spacing w:val="-1"/>
              </w:rPr>
              <w:t>响应自治区卫生健康委和自治区科协号召，积极开展“党旗领航</w:t>
            </w:r>
            <w:r>
              <w:rPr>
                <w:spacing w:val="-2"/>
              </w:rPr>
              <w:t>”系列活动，活动有实质</w:t>
            </w:r>
            <w:r>
              <w:rPr>
                <w:spacing w:val="-2"/>
              </w:rPr>
              <w:t>性效果（4分）。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39" w:h="11906"/>
          <w:pgMar w:top="1012" w:right="1284" w:bottom="0" w:left="1021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121" w:lineRule="exact"/>
        <w:rPr/>
      </w:pPr>
      <w:r/>
    </w:p>
    <w:tbl>
      <w:tblPr>
        <w:tblStyle w:val="TableNormal"/>
        <w:tblW w:w="1452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417"/>
        <w:gridCol w:w="455"/>
        <w:gridCol w:w="543"/>
        <w:gridCol w:w="1847"/>
        <w:gridCol w:w="8757"/>
        <w:gridCol w:w="776"/>
        <w:gridCol w:w="732"/>
      </w:tblGrid>
      <w:tr>
        <w:trPr>
          <w:trHeight w:val="580" w:hRule="atLeast"/>
        </w:trPr>
        <w:tc>
          <w:tcPr>
            <w:tcW w:w="14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3" w:type="dxa"/>
            <w:vAlign w:val="top"/>
          </w:tcPr>
          <w:p>
            <w:pPr>
              <w:pStyle w:val="TableText"/>
              <w:ind w:left="232"/>
              <w:spacing w:before="38" w:line="238" w:lineRule="auto"/>
              <w:rPr/>
            </w:pPr>
            <w:r>
              <w:rPr/>
              <w:t>5</w:t>
            </w:r>
          </w:p>
          <w:p>
            <w:pPr>
              <w:pStyle w:val="TableText"/>
              <w:ind w:left="167"/>
              <w:spacing w:line="208" w:lineRule="auto"/>
              <w:rPr/>
            </w:pPr>
            <w:r>
              <w:rPr/>
              <w:t>分</w:t>
            </w:r>
          </w:p>
        </w:tc>
        <w:tc>
          <w:tcPr>
            <w:tcW w:w="1847" w:type="dxa"/>
            <w:vAlign w:val="top"/>
          </w:tcPr>
          <w:p>
            <w:pPr>
              <w:pStyle w:val="TableText"/>
              <w:ind w:left="272"/>
              <w:spacing w:before="180" w:line="215" w:lineRule="auto"/>
              <w:rPr/>
            </w:pPr>
            <w:r>
              <w:rPr>
                <w:spacing w:val="-2"/>
              </w:rPr>
              <w:t>参加公益活动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14" w:right="103"/>
              <w:spacing w:before="38" w:line="223" w:lineRule="auto"/>
              <w:rPr/>
            </w:pPr>
            <w:r>
              <w:rPr>
                <w:spacing w:val="-4"/>
              </w:rPr>
              <w:t>积极参与中华医学会、国家卫健委、自治区卫健委、广西医学会等组织的社会公益活动（5</w:t>
            </w:r>
            <w:r>
              <w:rPr>
                <w:spacing w:val="-4"/>
              </w:rPr>
              <w:t>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04" w:hRule="atLeast"/>
        </w:trPr>
        <w:tc>
          <w:tcPr>
            <w:tcW w:w="1417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11"/>
              <w:spacing w:before="62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b/>
                <w:bCs/>
                <w:spacing w:val="6"/>
              </w:rPr>
              <w:t>八、财务管理</w:t>
            </w:r>
          </w:p>
        </w:tc>
        <w:tc>
          <w:tcPr>
            <w:tcW w:w="455" w:type="dxa"/>
            <w:vAlign w:val="top"/>
            <w:vMerge w:val="restart"/>
            <w:tcBorders>
              <w:bottom w:val="nil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116" w:firstLine="12"/>
              <w:spacing w:before="71" w:line="241" w:lineRule="auto"/>
              <w:rPr/>
            </w:pPr>
            <w:r>
              <w:rPr>
                <w:spacing w:val="-11"/>
              </w:rPr>
              <w:t>12</w:t>
            </w:r>
            <w:r>
              <w:rPr>
                <w:spacing w:val="-10"/>
              </w:rPr>
              <w:t>分</w:t>
            </w:r>
          </w:p>
        </w:tc>
        <w:tc>
          <w:tcPr>
            <w:tcW w:w="543" w:type="dxa"/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 w:right="160" w:firstLine="61"/>
              <w:spacing w:before="72" w:line="239" w:lineRule="auto"/>
              <w:rPr/>
            </w:pPr>
            <w:r>
              <w:rPr>
                <w:spacing w:val="-16"/>
              </w:rPr>
              <w:t>4</w:t>
            </w:r>
            <w:r>
              <w:rPr>
                <w:spacing w:val="-10"/>
              </w:rPr>
              <w:t>分</w:t>
            </w:r>
          </w:p>
        </w:tc>
        <w:tc>
          <w:tcPr>
            <w:tcW w:w="1847" w:type="dxa"/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01" w:right="151" w:hanging="444"/>
              <w:spacing w:before="72" w:line="239" w:lineRule="auto"/>
              <w:rPr/>
            </w:pPr>
            <w:r>
              <w:rPr>
                <w:spacing w:val="-2"/>
              </w:rPr>
              <w:t>遵守相关财务管</w:t>
            </w:r>
            <w:r>
              <w:rPr>
                <w:spacing w:val="-4"/>
              </w:rPr>
              <w:t>理规定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52" w:right="103" w:hanging="25"/>
              <w:spacing w:before="117" w:line="227" w:lineRule="auto"/>
              <w:rPr/>
            </w:pPr>
            <w:r>
              <w:rPr>
                <w:spacing w:val="-1"/>
              </w:rPr>
              <w:t>1.坚持厉行节约、反对浪费、勤俭办事原则</w:t>
            </w:r>
            <w:r>
              <w:rPr>
                <w:spacing w:val="-2"/>
              </w:rPr>
              <w:t>，结合学会</w:t>
            </w:r>
            <w:r>
              <w:rPr>
                <w:rFonts w:ascii="SimSun" w:hAnsi="SimSun" w:eastAsia="SimSun" w:cs="SimSun"/>
                <w:spacing w:val="-2"/>
              </w:rPr>
              <w:t>实际</w:t>
            </w:r>
            <w:r>
              <w:rPr>
                <w:spacing w:val="-2"/>
              </w:rPr>
              <w:t>，落实中央八项规定。开支项</w:t>
            </w:r>
            <w:r>
              <w:rPr>
                <w:spacing w:val="-1"/>
              </w:rPr>
              <w:t>目符合相关标准，严格报销审批程序，列支项目真实、及</w:t>
            </w:r>
            <w:r>
              <w:rPr>
                <w:spacing w:val="-2"/>
              </w:rPr>
              <w:t>时、准确、完整（4分）。</w:t>
            </w:r>
          </w:p>
          <w:p>
            <w:pPr>
              <w:pStyle w:val="TableText"/>
              <w:ind w:left="121"/>
              <w:spacing w:before="30" w:line="217" w:lineRule="auto"/>
              <w:rPr/>
            </w:pPr>
            <w:r>
              <w:rPr>
                <w:spacing w:val="-3"/>
              </w:rPr>
              <w:t>2.扣分项：</w:t>
            </w:r>
          </w:p>
          <w:p>
            <w:pPr>
              <w:pStyle w:val="TableText"/>
              <w:ind w:left="125"/>
              <w:spacing w:before="25" w:line="214" w:lineRule="auto"/>
              <w:rPr/>
            </w:pPr>
            <w:r>
              <w:rPr>
                <w:spacing w:val="-2"/>
              </w:rPr>
              <w:t>①学术年会不收注册费（扣1分</w:t>
            </w:r>
            <w:r>
              <w:rPr>
                <w:spacing w:val="13"/>
              </w:rPr>
              <w:t>）；</w:t>
            </w:r>
          </w:p>
          <w:p>
            <w:pPr>
              <w:pStyle w:val="TableText"/>
              <w:ind w:left="124"/>
              <w:spacing w:before="32" w:line="214" w:lineRule="auto"/>
              <w:rPr/>
            </w:pPr>
            <w:r>
              <w:rPr>
                <w:spacing w:val="-1"/>
              </w:rPr>
              <w:t>②未积极配合学会收集专家上税资料（扣1分）。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43" w:hRule="atLeast"/>
        </w:trPr>
        <w:tc>
          <w:tcPr>
            <w:tcW w:w="14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3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" w:right="160" w:firstLine="63"/>
              <w:spacing w:before="72" w:line="241" w:lineRule="auto"/>
              <w:rPr/>
            </w:pPr>
            <w:r>
              <w:rPr>
                <w:spacing w:val="-19"/>
              </w:rPr>
              <w:t>8</w:t>
            </w:r>
            <w:r>
              <w:rPr>
                <w:spacing w:val="-10"/>
              </w:rPr>
              <w:t>分</w:t>
            </w:r>
          </w:p>
        </w:tc>
        <w:tc>
          <w:tcPr>
            <w:tcW w:w="1847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05" w:right="151" w:hanging="445"/>
              <w:spacing w:before="71" w:line="239" w:lineRule="auto"/>
              <w:rPr/>
            </w:pPr>
            <w:r>
              <w:rPr>
                <w:spacing w:val="-2"/>
              </w:rPr>
              <w:t>认真执行预、结</w:t>
            </w:r>
            <w:r>
              <w:rPr>
                <w:spacing w:val="-5"/>
              </w:rPr>
              <w:t>算制度</w:t>
            </w:r>
          </w:p>
        </w:tc>
        <w:tc>
          <w:tcPr>
            <w:tcW w:w="8757" w:type="dxa"/>
            <w:vAlign w:val="top"/>
          </w:tcPr>
          <w:p>
            <w:pPr>
              <w:pStyle w:val="TableText"/>
              <w:ind w:left="127"/>
              <w:spacing w:before="98" w:line="214" w:lineRule="auto"/>
              <w:rPr/>
            </w:pPr>
            <w:r>
              <w:rPr>
                <w:spacing w:val="-2"/>
              </w:rPr>
              <w:t>1.预算明确，结算及时（8分）。</w:t>
            </w:r>
          </w:p>
          <w:p>
            <w:pPr>
              <w:pStyle w:val="TableText"/>
              <w:ind w:left="121"/>
              <w:spacing w:before="29" w:line="217" w:lineRule="auto"/>
              <w:rPr/>
            </w:pPr>
            <w:r>
              <w:rPr>
                <w:spacing w:val="-3"/>
              </w:rPr>
              <w:t>2.扣分项：</w:t>
            </w:r>
          </w:p>
          <w:p>
            <w:pPr>
              <w:pStyle w:val="TableText"/>
              <w:ind w:left="125"/>
              <w:spacing w:before="24" w:line="214" w:lineRule="auto"/>
              <w:rPr/>
            </w:pPr>
            <w:r>
              <w:rPr>
                <w:spacing w:val="-2"/>
              </w:rPr>
              <w:t>①会前没有与学会沟通收支情况（扣2分</w:t>
            </w:r>
            <w:r>
              <w:rPr>
                <w:spacing w:val="17"/>
              </w:rPr>
              <w:t>）；</w:t>
            </w:r>
          </w:p>
          <w:p>
            <w:pPr>
              <w:pStyle w:val="TableText"/>
              <w:ind w:left="124"/>
              <w:spacing w:before="31" w:line="214" w:lineRule="auto"/>
              <w:rPr/>
            </w:pPr>
            <w:r>
              <w:rPr>
                <w:spacing w:val="-2"/>
              </w:rPr>
              <w:t>②会前一周未递交预算表（扣2分</w:t>
            </w:r>
            <w:r>
              <w:rPr>
                <w:spacing w:val="15"/>
              </w:rPr>
              <w:t>）；</w:t>
            </w:r>
          </w:p>
          <w:p>
            <w:pPr>
              <w:pStyle w:val="TableText"/>
              <w:ind w:left="125"/>
              <w:spacing w:before="31" w:line="214" w:lineRule="auto"/>
              <w:rPr/>
            </w:pPr>
            <w:r>
              <w:rPr>
                <w:spacing w:val="-1"/>
              </w:rPr>
              <w:t>③会议结束后二周内未能完成会议结算（扣2分</w:t>
            </w:r>
            <w:r>
              <w:rPr>
                <w:spacing w:val="10"/>
              </w:rPr>
              <w:t>）；</w:t>
            </w:r>
          </w:p>
          <w:p>
            <w:pPr>
              <w:pStyle w:val="TableText"/>
              <w:ind w:left="124"/>
              <w:spacing w:before="29" w:line="214" w:lineRule="auto"/>
              <w:rPr/>
            </w:pPr>
            <w:r>
              <w:rPr>
                <w:spacing w:val="-2"/>
              </w:rPr>
              <w:t>④会议超支（扣2分）。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60" w:hRule="atLeast"/>
        </w:trPr>
        <w:tc>
          <w:tcPr>
            <w:tcW w:w="141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274"/>
              <w:spacing w:before="72" w:line="224" w:lineRule="auto"/>
              <w:rPr>
                <w:rFonts w:ascii="KaiTi" w:hAnsi="KaiTi" w:eastAsia="KaiTi" w:cs="KaiTi"/>
                <w:sz w:val="22"/>
                <w:szCs w:val="22"/>
              </w:rPr>
            </w:pPr>
            <w:r>
              <w:rPr>
                <w:rFonts w:ascii="KaiTi" w:hAnsi="KaiTi" w:eastAsia="KaiTi" w:cs="KaiTi"/>
                <w:sz w:val="22"/>
                <w:szCs w:val="22"/>
                <w:spacing w:val="-3"/>
              </w:rPr>
              <w:t>考评组织</w:t>
            </w:r>
          </w:p>
        </w:tc>
        <w:tc>
          <w:tcPr>
            <w:tcW w:w="11602" w:type="dxa"/>
            <w:vAlign w:val="top"/>
            <w:gridSpan w:val="4"/>
          </w:tcPr>
          <w:p>
            <w:pPr>
              <w:ind w:left="111"/>
              <w:spacing w:before="35" w:line="219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</w:rPr>
              <w:t>考评组织：专科分会自评</w:t>
            </w: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  <w:r>
              <w:rPr>
                <w:rFonts w:ascii="SimSun" w:hAnsi="SimSun" w:eastAsia="SimSun" w:cs="SimSun"/>
                <w:sz w:val="22"/>
                <w:szCs w:val="22"/>
              </w:rPr>
              <w:t>监事会、财务审计部、学术与组</w:t>
            </w:r>
            <w:r>
              <w:rPr>
                <w:rFonts w:ascii="SimSun" w:hAnsi="SimSun" w:eastAsia="SimSun" w:cs="SimSun"/>
                <w:sz w:val="22"/>
                <w:szCs w:val="22"/>
                <w:spacing w:val="-1"/>
              </w:rPr>
              <w:t>织管理部综合评定。</w:t>
            </w:r>
          </w:p>
          <w:p>
            <w:pPr>
              <w:pStyle w:val="TableText"/>
              <w:ind w:left="124" w:right="93" w:hanging="15"/>
              <w:spacing w:before="24" w:line="222" w:lineRule="auto"/>
              <w:rPr/>
            </w:pPr>
            <w:r>
              <w:rPr>
                <w:spacing w:val="-1"/>
              </w:rPr>
              <w:t>考评数据引用：所有会议需要在学术与组织管理部立项，会议数据需要提交照片证明会议召开，考评时从财务审计部、</w:t>
            </w:r>
            <w:r>
              <w:rPr>
                <w:spacing w:val="-2"/>
              </w:rPr>
              <w:t>学术与组织管理部引用数据。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549" w:hRule="atLeast"/>
        </w:trPr>
        <w:tc>
          <w:tcPr>
            <w:tcW w:w="1417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ind w:left="278"/>
              <w:spacing w:before="72" w:line="225" w:lineRule="auto"/>
              <w:rPr>
                <w:rFonts w:ascii="KaiTi" w:hAnsi="KaiTi" w:eastAsia="KaiTi" w:cs="KaiTi"/>
                <w:sz w:val="22"/>
                <w:szCs w:val="22"/>
              </w:rPr>
            </w:pPr>
            <w:r>
              <w:rPr>
                <w:rFonts w:ascii="KaiTi" w:hAnsi="KaiTi" w:eastAsia="KaiTi" w:cs="KaiTi"/>
                <w:sz w:val="22"/>
                <w:szCs w:val="22"/>
                <w:spacing w:val="-4"/>
              </w:rPr>
              <w:t>结果应用</w:t>
            </w:r>
          </w:p>
        </w:tc>
        <w:tc>
          <w:tcPr>
            <w:tcW w:w="11602" w:type="dxa"/>
            <w:vAlign w:val="top"/>
            <w:gridSpan w:val="4"/>
          </w:tcPr>
          <w:p>
            <w:pPr>
              <w:pStyle w:val="TableText"/>
              <w:ind w:left="109"/>
              <w:spacing w:before="92" w:line="214" w:lineRule="auto"/>
              <w:rPr/>
            </w:pPr>
            <w:r>
              <w:rPr>
                <w:spacing w:val="-1"/>
              </w:rPr>
              <w:t>考评结果及应用：</w:t>
            </w:r>
          </w:p>
          <w:p>
            <w:pPr>
              <w:pStyle w:val="TableText"/>
              <w:ind w:left="103" w:right="319"/>
              <w:spacing w:before="29" w:line="239" w:lineRule="auto"/>
              <w:rPr/>
            </w:pPr>
            <w:r>
              <w:rPr>
                <w:spacing w:val="-1"/>
              </w:rPr>
              <w:t>（一）考评结果分为优秀（90分以上）、合格（76-89分）、基本合格（60-75分）、不合格（60分以下）四个等级。</w:t>
            </w:r>
            <w:r>
              <w:rPr>
                <w:spacing w:val="11"/>
              </w:rPr>
              <w:t xml:space="preserve"> </w:t>
            </w:r>
            <w:r>
              <w:rPr/>
              <w:t>（二）对考评结果为优秀的专科分会，广西医学会将给予表彰奖励。</w:t>
            </w:r>
          </w:p>
          <w:p>
            <w:pPr>
              <w:pStyle w:val="TableText"/>
              <w:ind w:left="117" w:right="103" w:hanging="14"/>
              <w:spacing w:line="241" w:lineRule="auto"/>
              <w:rPr/>
            </w:pPr>
            <w:r>
              <w:rPr>
                <w:spacing w:val="-1"/>
              </w:rPr>
              <w:t>（三）对考评结果为不合格的专科分会，广西医学会将通报，责令其限期整改。连续二年考核不合格的，由学会秘书处</w:t>
            </w:r>
            <w:r>
              <w:rPr>
                <w:spacing w:val="-1"/>
              </w:rPr>
              <w:t>报请常务理事会审议通过，予以组织调整或提前改选。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39" w:h="11906"/>
      <w:pgMar w:top="1012" w:right="1284" w:bottom="0" w:left="102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FangSong_GB2312" w:hAnsi="FangSong_GB2312" w:eastAsia="FangSong_GB2312" w:cs="FangSong_GB2312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2026-01-20T16:14:16Z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2026-01-20T16:17:19</vt:filetime>
  </property>
</Properties>
</file>